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10" w:rsidRPr="00195C10" w:rsidRDefault="00195C10" w:rsidP="0019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195C10">
        <w:rPr>
          <w:rFonts w:ascii="Times New Roman" w:eastAsia="Calibri" w:hAnsi="Times New Roman" w:cs="Times New Roman"/>
          <w:b/>
          <w:bCs/>
          <w:sz w:val="24"/>
          <w:szCs w:val="24"/>
        </w:rPr>
        <w:t>SCHEDA TIPO DI SCHEDA DI MONITORAGGIO ANNUALE DEL CDS</w:t>
      </w:r>
    </w:p>
    <w:p w:rsidR="00195C10" w:rsidRDefault="00195C10" w:rsidP="0019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5C10" w:rsidRPr="0028725C" w:rsidRDefault="00195C10" w:rsidP="00195C10">
      <w:pPr>
        <w:pStyle w:val="Nessunaspaziatura"/>
        <w:rPr>
          <w:rFonts w:cstheme="minorHAnsi"/>
        </w:rPr>
      </w:pPr>
    </w:p>
    <w:tbl>
      <w:tblPr>
        <w:tblW w:w="48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1381"/>
        <w:gridCol w:w="120"/>
        <w:gridCol w:w="273"/>
        <w:gridCol w:w="1752"/>
        <w:gridCol w:w="1794"/>
        <w:gridCol w:w="1794"/>
      </w:tblGrid>
      <w:tr w:rsidR="00195C10" w:rsidRPr="0028725C" w:rsidTr="001C5758">
        <w:trPr>
          <w:trHeight w:val="58"/>
        </w:trPr>
        <w:tc>
          <w:tcPr>
            <w:tcW w:w="1124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Denominazione del CdS</w:t>
            </w: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3876" w:type="pct"/>
            <w:gridSpan w:val="6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___________________</w:t>
            </w:r>
          </w:p>
        </w:tc>
      </w:tr>
      <w:tr w:rsidR="00195C10" w:rsidRPr="0028725C" w:rsidTr="001C5758">
        <w:trPr>
          <w:trHeight w:val="58"/>
        </w:trPr>
        <w:tc>
          <w:tcPr>
            <w:tcW w:w="1124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proofErr w:type="spellStart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Codicione</w:t>
            </w:r>
            <w:proofErr w:type="spellEnd"/>
          </w:p>
        </w:tc>
        <w:tc>
          <w:tcPr>
            <w:tcW w:w="3876" w:type="pct"/>
            <w:gridSpan w:val="6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___________________</w:t>
            </w:r>
          </w:p>
        </w:tc>
      </w:tr>
      <w:tr w:rsidR="00195C10" w:rsidRPr="0028725C" w:rsidTr="001C5758">
        <w:trPr>
          <w:trHeight w:val="58"/>
        </w:trPr>
        <w:tc>
          <w:tcPr>
            <w:tcW w:w="1124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Ateneo</w:t>
            </w:r>
          </w:p>
        </w:tc>
        <w:tc>
          <w:tcPr>
            <w:tcW w:w="3876" w:type="pct"/>
            <w:gridSpan w:val="6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___________________</w:t>
            </w:r>
          </w:p>
        </w:tc>
      </w:tr>
      <w:tr w:rsidR="00195C10" w:rsidRPr="0028725C" w:rsidTr="001C5758">
        <w:trPr>
          <w:trHeight w:val="58"/>
        </w:trPr>
        <w:tc>
          <w:tcPr>
            <w:tcW w:w="1124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Statale o non statale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Pr="0028725C">
              <w:rPr>
                <w:rFonts w:eastAsia="Times New Roman" w:cstheme="minorHAnsi"/>
                <w:color w:val="000000"/>
                <w:lang w:eastAsia="it-IT"/>
              </w:rPr>
              <w:t xml:space="preserve"> Statale</w:t>
            </w:r>
          </w:p>
        </w:tc>
        <w:tc>
          <w:tcPr>
            <w:tcW w:w="3126" w:type="pct"/>
            <w:gridSpan w:val="5"/>
            <w:vAlign w:val="center"/>
          </w:tcPr>
          <w:p w:rsidR="00195C10" w:rsidRPr="0028725C" w:rsidRDefault="00195C10" w:rsidP="001C5758">
            <w:pPr>
              <w:spacing w:after="0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Pr="0028725C">
              <w:rPr>
                <w:rFonts w:eastAsia="Times New Roman" w:cstheme="minorHAnsi"/>
                <w:color w:val="000000"/>
                <w:lang w:eastAsia="it-IT"/>
              </w:rPr>
              <w:t xml:space="preserve"> Non statale</w:t>
            </w:r>
          </w:p>
        </w:tc>
      </w:tr>
      <w:tr w:rsidR="00195C10" w:rsidRPr="0028725C" w:rsidTr="001C5758">
        <w:trPr>
          <w:trHeight w:val="58"/>
        </w:trPr>
        <w:tc>
          <w:tcPr>
            <w:tcW w:w="1124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Tipo di Ateneo</w:t>
            </w:r>
          </w:p>
        </w:tc>
        <w:tc>
          <w:tcPr>
            <w:tcW w:w="820" w:type="pct"/>
            <w:gridSpan w:val="2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Pr="0028725C">
              <w:rPr>
                <w:rFonts w:eastAsia="Times New Roman" w:cstheme="minorHAnsi"/>
                <w:color w:val="000000"/>
                <w:lang w:eastAsia="it-IT"/>
              </w:rPr>
              <w:t xml:space="preserve"> Tradizionale</w:t>
            </w:r>
          </w:p>
        </w:tc>
        <w:tc>
          <w:tcPr>
            <w:tcW w:w="149" w:type="pct"/>
            <w:vAlign w:val="center"/>
          </w:tcPr>
          <w:p w:rsidR="00195C10" w:rsidRPr="0028725C" w:rsidRDefault="00195C10" w:rsidP="001C5758">
            <w:pPr>
              <w:spacing w:after="0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Pr="0028725C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2907" w:type="pct"/>
            <w:gridSpan w:val="3"/>
            <w:vAlign w:val="center"/>
          </w:tcPr>
          <w:p w:rsidR="00195C10" w:rsidRPr="0028725C" w:rsidRDefault="00195C10" w:rsidP="001C5758">
            <w:pPr>
              <w:spacing w:after="0" w:line="240" w:lineRule="auto"/>
              <w:rPr>
                <w:rFonts w:cstheme="minorHAnsi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Telematico o con p</w:t>
            </w:r>
            <w:r>
              <w:rPr>
                <w:rFonts w:eastAsia="Times New Roman" w:cstheme="minorHAnsi"/>
                <w:color w:val="000000"/>
                <w:lang w:eastAsia="it-IT"/>
              </w:rPr>
              <w:t>iù del 30% dei corsi a distanza</w:t>
            </w:r>
          </w:p>
        </w:tc>
      </w:tr>
      <w:tr w:rsidR="00195C10" w:rsidRPr="0028725C" w:rsidTr="001C5758">
        <w:trPr>
          <w:trHeight w:val="249"/>
        </w:trPr>
        <w:tc>
          <w:tcPr>
            <w:tcW w:w="1124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Area geografica</w:t>
            </w:r>
          </w:p>
        </w:tc>
        <w:tc>
          <w:tcPr>
            <w:tcW w:w="969" w:type="pct"/>
            <w:gridSpan w:val="3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Pr="0028725C">
              <w:rPr>
                <w:rFonts w:eastAsia="Times New Roman" w:cstheme="minorHAnsi"/>
                <w:color w:val="000000"/>
                <w:lang w:eastAsia="it-IT"/>
              </w:rPr>
              <w:t xml:space="preserve"> Nord-est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Pr="0028725C">
              <w:rPr>
                <w:rFonts w:eastAsia="Times New Roman" w:cstheme="minorHAnsi"/>
                <w:color w:val="000000"/>
                <w:lang w:eastAsia="it-IT"/>
              </w:rPr>
              <w:t xml:space="preserve"> Nord-ovest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195C10" w:rsidRPr="0028725C" w:rsidRDefault="00195C10" w:rsidP="001C5758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Pr="0028725C">
              <w:rPr>
                <w:rFonts w:eastAsia="Times New Roman" w:cstheme="minorHAnsi"/>
                <w:color w:val="000000"/>
                <w:lang w:eastAsia="it-IT"/>
              </w:rPr>
              <w:t xml:space="preserve"> Centro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195C10" w:rsidRPr="0028725C" w:rsidRDefault="00195C10" w:rsidP="001C5758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Pr="0028725C">
              <w:rPr>
                <w:rFonts w:eastAsia="Times New Roman" w:cstheme="minorHAnsi"/>
                <w:color w:val="000000"/>
                <w:lang w:eastAsia="it-IT"/>
              </w:rPr>
              <w:t xml:space="preserve"> Sud e Isole</w:t>
            </w:r>
          </w:p>
        </w:tc>
      </w:tr>
    </w:tbl>
    <w:p w:rsidR="00195C10" w:rsidRPr="0028725C" w:rsidRDefault="00195C10" w:rsidP="00195C10">
      <w:pPr>
        <w:rPr>
          <w:rFonts w:cstheme="minorHAnsi"/>
        </w:rPr>
      </w:pPr>
    </w:p>
    <w:tbl>
      <w:tblPr>
        <w:tblW w:w="46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3"/>
        <w:gridCol w:w="1678"/>
        <w:gridCol w:w="261"/>
        <w:gridCol w:w="667"/>
        <w:gridCol w:w="612"/>
        <w:gridCol w:w="100"/>
        <w:gridCol w:w="181"/>
        <w:gridCol w:w="1111"/>
        <w:gridCol w:w="365"/>
        <w:gridCol w:w="340"/>
        <w:gridCol w:w="311"/>
        <w:gridCol w:w="275"/>
        <w:gridCol w:w="1291"/>
        <w:gridCol w:w="147"/>
      </w:tblGrid>
      <w:tr w:rsidR="00195C10" w:rsidRPr="0028725C" w:rsidTr="001C5758">
        <w:trPr>
          <w:trHeight w:val="57"/>
        </w:trPr>
        <w:tc>
          <w:tcPr>
            <w:tcW w:w="897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Classe di laurea</w:t>
            </w:r>
          </w:p>
        </w:tc>
        <w:tc>
          <w:tcPr>
            <w:tcW w:w="4103" w:type="pct"/>
            <w:gridSpan w:val="13"/>
            <w:shd w:val="clear" w:color="auto" w:fill="auto"/>
            <w:noWrap/>
          </w:tcPr>
          <w:p w:rsidR="00195C10" w:rsidRPr="0028725C" w:rsidRDefault="00195C10" w:rsidP="001C5758">
            <w:pPr>
              <w:spacing w:before="60" w:afterLines="60" w:after="144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___________________</w:t>
            </w:r>
          </w:p>
        </w:tc>
      </w:tr>
      <w:tr w:rsidR="00195C10" w:rsidRPr="0028725C" w:rsidTr="001C5758">
        <w:trPr>
          <w:trHeight w:val="57"/>
        </w:trPr>
        <w:tc>
          <w:tcPr>
            <w:tcW w:w="897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Tipo</w:t>
            </w:r>
          </w:p>
        </w:tc>
        <w:tc>
          <w:tcPr>
            <w:tcW w:w="1457" w:type="pct"/>
            <w:gridSpan w:val="3"/>
            <w:shd w:val="clear" w:color="auto" w:fill="auto"/>
            <w:noWrap/>
          </w:tcPr>
          <w:p w:rsidR="00195C10" w:rsidRPr="0028725C" w:rsidRDefault="00195C10" w:rsidP="001C5758">
            <w:pPr>
              <w:spacing w:before="60" w:afterLines="60" w:after="144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Pr="0028725C">
              <w:rPr>
                <w:rFonts w:eastAsia="Times New Roman" w:cstheme="minorHAnsi"/>
                <w:color w:val="000000"/>
                <w:lang w:eastAsia="it-IT"/>
              </w:rPr>
              <w:t xml:space="preserve"> L</w:t>
            </w:r>
          </w:p>
        </w:tc>
        <w:tc>
          <w:tcPr>
            <w:tcW w:w="1324" w:type="pct"/>
            <w:gridSpan w:val="5"/>
            <w:shd w:val="clear" w:color="auto" w:fill="auto"/>
          </w:tcPr>
          <w:p w:rsidR="00195C10" w:rsidRDefault="00195C10" w:rsidP="001C5758">
            <w:pPr>
              <w:spacing w:before="60" w:afterLines="60" w:after="144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Pr="0028725C">
              <w:rPr>
                <w:rFonts w:eastAsia="Times New Roman" w:cstheme="minorHAnsi"/>
                <w:color w:val="000000"/>
                <w:lang w:eastAsia="it-IT"/>
              </w:rPr>
              <w:t xml:space="preserve"> LMCU</w:t>
            </w:r>
          </w:p>
        </w:tc>
        <w:tc>
          <w:tcPr>
            <w:tcW w:w="1322" w:type="pct"/>
            <w:gridSpan w:val="5"/>
            <w:shd w:val="clear" w:color="auto" w:fill="auto"/>
          </w:tcPr>
          <w:p w:rsidR="00195C10" w:rsidRDefault="00195C10" w:rsidP="001C5758">
            <w:pPr>
              <w:spacing w:before="60" w:afterLines="60" w:after="144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Pr="0028725C">
              <w:rPr>
                <w:rFonts w:eastAsia="Times New Roman" w:cstheme="minorHAnsi"/>
                <w:color w:val="000000"/>
                <w:lang w:eastAsia="it-IT"/>
              </w:rPr>
              <w:t xml:space="preserve"> LM</w:t>
            </w:r>
          </w:p>
        </w:tc>
      </w:tr>
      <w:tr w:rsidR="00195C10" w:rsidRPr="0028725C" w:rsidTr="001C5758">
        <w:trPr>
          <w:trHeight w:val="57"/>
        </w:trPr>
        <w:tc>
          <w:tcPr>
            <w:tcW w:w="897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Erogazione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Pr="0028725C">
              <w:rPr>
                <w:rFonts w:eastAsia="Times New Roman" w:cstheme="minorHAnsi"/>
                <w:color w:val="000000"/>
                <w:lang w:eastAsia="it-IT"/>
              </w:rPr>
              <w:t xml:space="preserve"> Convenzionale</w:t>
            </w:r>
          </w:p>
        </w:tc>
        <w:tc>
          <w:tcPr>
            <w:tcW w:w="861" w:type="pct"/>
            <w:gridSpan w:val="3"/>
            <w:shd w:val="clear" w:color="auto" w:fill="auto"/>
            <w:vAlign w:val="center"/>
          </w:tcPr>
          <w:p w:rsidR="00195C10" w:rsidRPr="0028725C" w:rsidRDefault="00195C10" w:rsidP="001C575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Pr="0028725C">
              <w:rPr>
                <w:rFonts w:eastAsia="Times New Roman" w:cstheme="minorHAnsi"/>
                <w:color w:val="000000"/>
                <w:lang w:eastAsia="it-IT"/>
              </w:rPr>
              <w:t xml:space="preserve"> Mista</w:t>
            </w:r>
          </w:p>
        </w:tc>
        <w:tc>
          <w:tcPr>
            <w:tcW w:w="157" w:type="pct"/>
            <w:gridSpan w:val="2"/>
            <w:shd w:val="clear" w:color="auto" w:fill="auto"/>
            <w:vAlign w:val="center"/>
          </w:tcPr>
          <w:p w:rsidR="00195C10" w:rsidRPr="0028725C" w:rsidRDefault="00195C10" w:rsidP="001C5758">
            <w:pPr>
              <w:spacing w:after="0"/>
              <w:ind w:left="213" w:hanging="213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Pr="0028725C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</w:tcPr>
          <w:p w:rsidR="00195C10" w:rsidRPr="0028725C" w:rsidRDefault="00195C10" w:rsidP="001C5758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Prevalentemente a distanza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195C10" w:rsidRPr="0028725C" w:rsidRDefault="00195C10" w:rsidP="001C5758">
            <w:pPr>
              <w:spacing w:after="0"/>
              <w:ind w:left="215" w:hanging="215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Pr="0028725C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195C10" w:rsidRPr="0028725C" w:rsidRDefault="00195C10" w:rsidP="001C5758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Integralmente a distanza</w:t>
            </w:r>
          </w:p>
        </w:tc>
      </w:tr>
      <w:tr w:rsidR="00195C10" w:rsidRPr="0028725C" w:rsidTr="001C5758">
        <w:trPr>
          <w:trHeight w:val="57"/>
        </w:trPr>
        <w:tc>
          <w:tcPr>
            <w:tcW w:w="897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Durata normale</w:t>
            </w:r>
          </w:p>
        </w:tc>
        <w:tc>
          <w:tcPr>
            <w:tcW w:w="4103" w:type="pct"/>
            <w:gridSpan w:val="13"/>
            <w:shd w:val="clear" w:color="auto" w:fill="auto"/>
            <w:noWrap/>
          </w:tcPr>
          <w:p w:rsidR="00195C10" w:rsidRPr="0028725C" w:rsidRDefault="00195C10" w:rsidP="001C5758">
            <w:pPr>
              <w:spacing w:before="60" w:afterLines="60" w:after="144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___________________</w:t>
            </w:r>
          </w:p>
        </w:tc>
      </w:tr>
      <w:tr w:rsidR="00195C10" w:rsidRPr="0028725C" w:rsidTr="001C5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pct"/>
          <w:trHeight w:val="54"/>
        </w:trPr>
        <w:tc>
          <w:tcPr>
            <w:tcW w:w="1981" w:type="pct"/>
            <w:gridSpan w:val="3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771" w:type="pct"/>
            <w:gridSpan w:val="3"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proofErr w:type="spellStart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</w:t>
            </w:r>
            <w:proofErr w:type="spellEnd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. 201</w:t>
            </w: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6</w:t>
            </w: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/1</w:t>
            </w: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722" w:type="pct"/>
            <w:gridSpan w:val="2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</w:t>
            </w:r>
            <w:proofErr w:type="spellEnd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. 2015/16</w:t>
            </w:r>
          </w:p>
        </w:tc>
        <w:tc>
          <w:tcPr>
            <w:tcW w:w="722" w:type="pct"/>
            <w:gridSpan w:val="4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</w:t>
            </w:r>
            <w:proofErr w:type="spellEnd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. 2014/15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</w:t>
            </w:r>
            <w:proofErr w:type="spellEnd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. 2013/14</w:t>
            </w:r>
          </w:p>
        </w:tc>
      </w:tr>
      <w:tr w:rsidR="00195C10" w:rsidRPr="0028725C" w:rsidTr="001C5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pct"/>
          <w:trHeight w:val="54"/>
        </w:trPr>
        <w:tc>
          <w:tcPr>
            <w:tcW w:w="1981" w:type="pct"/>
            <w:gridSpan w:val="3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before="60" w:after="60" w:line="24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Programmazione locale</w:t>
            </w:r>
          </w:p>
        </w:tc>
        <w:tc>
          <w:tcPr>
            <w:tcW w:w="771" w:type="pct"/>
            <w:gridSpan w:val="3"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722" w:type="pct"/>
            <w:gridSpan w:val="2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722" w:type="pct"/>
            <w:gridSpan w:val="4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722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</w:tr>
      <w:tr w:rsidR="00195C10" w:rsidRPr="0028725C" w:rsidTr="001C5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pct"/>
          <w:trHeight w:val="54"/>
        </w:trPr>
        <w:tc>
          <w:tcPr>
            <w:tcW w:w="1981" w:type="pct"/>
            <w:gridSpan w:val="3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before="60" w:after="60" w:line="24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Programmazione nazionale</w:t>
            </w:r>
          </w:p>
        </w:tc>
        <w:tc>
          <w:tcPr>
            <w:tcW w:w="771" w:type="pct"/>
            <w:gridSpan w:val="3"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722" w:type="pct"/>
            <w:gridSpan w:val="2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722" w:type="pct"/>
            <w:gridSpan w:val="4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722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</w:tr>
      <w:tr w:rsidR="00195C10" w:rsidRPr="0028725C" w:rsidTr="001C5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pct"/>
          <w:trHeight w:val="54"/>
        </w:trPr>
        <w:tc>
          <w:tcPr>
            <w:tcW w:w="1981" w:type="pct"/>
            <w:gridSpan w:val="3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before="60" w:after="60" w:line="24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Nessuna programmazione</w:t>
            </w:r>
          </w:p>
        </w:tc>
        <w:tc>
          <w:tcPr>
            <w:tcW w:w="771" w:type="pct"/>
            <w:gridSpan w:val="3"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722" w:type="pct"/>
            <w:gridSpan w:val="2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722" w:type="pct"/>
            <w:gridSpan w:val="4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722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</w:tr>
    </w:tbl>
    <w:p w:rsidR="00195C10" w:rsidRPr="0028725C" w:rsidRDefault="00195C10" w:rsidP="00195C10">
      <w:pPr>
        <w:rPr>
          <w:rFonts w:cstheme="minorHAnsi"/>
        </w:rPr>
      </w:pPr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395"/>
        <w:gridCol w:w="1535"/>
        <w:gridCol w:w="1397"/>
      </w:tblGrid>
      <w:tr w:rsidR="00195C10" w:rsidRPr="0028725C" w:rsidTr="001C5758">
        <w:trPr>
          <w:trHeight w:val="54"/>
        </w:trPr>
        <w:tc>
          <w:tcPr>
            <w:tcW w:w="2559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787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</w:t>
            </w:r>
            <w:proofErr w:type="spellEnd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. 2015/16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</w:t>
            </w:r>
            <w:proofErr w:type="spellEnd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. 2014/15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</w:t>
            </w:r>
            <w:proofErr w:type="spellEnd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. 2013/14</w:t>
            </w:r>
          </w:p>
        </w:tc>
      </w:tr>
      <w:tr w:rsidR="00195C10" w:rsidRPr="0028725C" w:rsidTr="001C5758">
        <w:trPr>
          <w:trHeight w:val="54"/>
        </w:trPr>
        <w:tc>
          <w:tcPr>
            <w:tcW w:w="2559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before="60" w:after="60" w:line="24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Nr. Di</w:t>
            </w:r>
            <w:r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altri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CdS della stessa classe nell’Ateneo</w:t>
            </w:r>
          </w:p>
        </w:tc>
        <w:tc>
          <w:tcPr>
            <w:tcW w:w="787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66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788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195C10" w:rsidRPr="0028725C" w:rsidTr="001C5758">
        <w:trPr>
          <w:trHeight w:val="54"/>
        </w:trPr>
        <w:tc>
          <w:tcPr>
            <w:tcW w:w="2559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before="60" w:after="60" w:line="24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Nr. di </w:t>
            </w:r>
            <w:r>
              <w:rPr>
                <w:rFonts w:eastAsia="Times New Roman" w:cstheme="minorHAnsi"/>
                <w:bCs/>
                <w:color w:val="000000"/>
                <w:lang w:eastAsia="it-IT"/>
              </w:rPr>
              <w:t xml:space="preserve">altri 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CdS della stessa classe nell’area geografica</w:t>
            </w:r>
          </w:p>
        </w:tc>
        <w:tc>
          <w:tcPr>
            <w:tcW w:w="787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66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788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195C10" w:rsidRPr="0028725C" w:rsidTr="001C5758">
        <w:trPr>
          <w:trHeight w:val="54"/>
        </w:trPr>
        <w:tc>
          <w:tcPr>
            <w:tcW w:w="2559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before="60" w:after="60" w:line="24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Nr. di </w:t>
            </w:r>
            <w:r>
              <w:rPr>
                <w:rFonts w:eastAsia="Times New Roman" w:cstheme="minorHAnsi"/>
                <w:bCs/>
                <w:color w:val="000000"/>
                <w:lang w:eastAsia="it-IT"/>
              </w:rPr>
              <w:t xml:space="preserve">altri 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CdS della stessa classe in Italia</w:t>
            </w:r>
          </w:p>
        </w:tc>
        <w:tc>
          <w:tcPr>
            <w:tcW w:w="787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66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788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:rsidR="00195C10" w:rsidRPr="0028725C" w:rsidRDefault="00195C10" w:rsidP="00195C10">
      <w:pPr>
        <w:rPr>
          <w:rFonts w:cstheme="minorHAnsi"/>
        </w:rPr>
      </w:pPr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1399"/>
        <w:gridCol w:w="1395"/>
        <w:gridCol w:w="1537"/>
      </w:tblGrid>
      <w:tr w:rsidR="00195C10" w:rsidRPr="0028725C" w:rsidTr="001C5758">
        <w:trPr>
          <w:trHeight w:val="54"/>
        </w:trPr>
        <w:tc>
          <w:tcPr>
            <w:tcW w:w="2557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</w:t>
            </w:r>
            <w:proofErr w:type="spellEnd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. 2015/16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</w:t>
            </w:r>
            <w:proofErr w:type="spellEnd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. 2014/15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</w:t>
            </w:r>
            <w:proofErr w:type="spellEnd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. 2013/14</w:t>
            </w:r>
          </w:p>
        </w:tc>
      </w:tr>
      <w:tr w:rsidR="00195C10" w:rsidRPr="0028725C" w:rsidTr="001C5758">
        <w:trPr>
          <w:trHeight w:val="54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before="120" w:after="120" w:line="240" w:lineRule="auto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Studenti</w:t>
            </w:r>
          </w:p>
        </w:tc>
      </w:tr>
      <w:tr w:rsidR="00195C10" w:rsidRPr="0028725C" w:rsidTr="001C5758">
        <w:trPr>
          <w:trHeight w:val="54"/>
        </w:trPr>
        <w:tc>
          <w:tcPr>
            <w:tcW w:w="2557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before="60" w:after="6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Cs/>
                <w:color w:val="000000"/>
                <w:lang w:eastAsia="it-IT"/>
              </w:rPr>
              <w:t>Avvii di carriera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* (L; LMCU; LM)</w:t>
            </w:r>
          </w:p>
        </w:tc>
        <w:tc>
          <w:tcPr>
            <w:tcW w:w="789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787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7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195C10" w:rsidRPr="0028725C" w:rsidTr="001C5758">
        <w:trPr>
          <w:trHeight w:val="54"/>
        </w:trPr>
        <w:tc>
          <w:tcPr>
            <w:tcW w:w="2557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before="60" w:after="6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Immatricolati** (L; LMCU)</w:t>
            </w:r>
          </w:p>
        </w:tc>
        <w:tc>
          <w:tcPr>
            <w:tcW w:w="789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787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7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195C10" w:rsidRPr="0028725C" w:rsidTr="001C5758">
        <w:trPr>
          <w:trHeight w:val="54"/>
        </w:trPr>
        <w:tc>
          <w:tcPr>
            <w:tcW w:w="2557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before="60" w:after="6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Se LM, Iscritti per la prima volta a LM</w:t>
            </w:r>
          </w:p>
        </w:tc>
        <w:tc>
          <w:tcPr>
            <w:tcW w:w="789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787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7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195C10" w:rsidRPr="0028725C" w:rsidTr="001C5758">
        <w:trPr>
          <w:trHeight w:val="54"/>
        </w:trPr>
        <w:tc>
          <w:tcPr>
            <w:tcW w:w="2557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before="60" w:after="6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Iscritti (L; LMCU; LM)</w:t>
            </w:r>
          </w:p>
        </w:tc>
        <w:tc>
          <w:tcPr>
            <w:tcW w:w="789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787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7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195C10" w:rsidRPr="0028725C" w:rsidTr="001C5758">
        <w:trPr>
          <w:trHeight w:val="54"/>
        </w:trPr>
        <w:tc>
          <w:tcPr>
            <w:tcW w:w="2557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before="60" w:after="6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Regolari* (L; LMCU; LM)</w:t>
            </w:r>
          </w:p>
        </w:tc>
        <w:tc>
          <w:tcPr>
            <w:tcW w:w="789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787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7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195C10" w:rsidRPr="0028725C" w:rsidTr="001C5758">
        <w:trPr>
          <w:trHeight w:val="54"/>
        </w:trPr>
        <w:tc>
          <w:tcPr>
            <w:tcW w:w="2557" w:type="pct"/>
            <w:shd w:val="clear" w:color="auto" w:fill="auto"/>
            <w:noWrap/>
            <w:vAlign w:val="center"/>
          </w:tcPr>
          <w:p w:rsidR="00195C10" w:rsidRPr="0028725C" w:rsidRDefault="00195C10" w:rsidP="001C5758">
            <w:pPr>
              <w:spacing w:before="60" w:after="6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Regolari** (L; LMCU; LM)</w:t>
            </w:r>
          </w:p>
        </w:tc>
        <w:tc>
          <w:tcPr>
            <w:tcW w:w="789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787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867" w:type="pct"/>
            <w:shd w:val="clear" w:color="auto" w:fill="auto"/>
            <w:noWrap/>
          </w:tcPr>
          <w:p w:rsidR="00195C10" w:rsidRPr="0028725C" w:rsidRDefault="00195C10" w:rsidP="001C5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</w:tbl>
    <w:p w:rsidR="00195C10" w:rsidRDefault="00195C10" w:rsidP="00195C10">
      <w:pPr>
        <w:pStyle w:val="Nessunaspaziatura"/>
        <w:rPr>
          <w:rFonts w:cstheme="minorHAnsi"/>
        </w:rPr>
      </w:pPr>
      <w:r w:rsidRPr="0028725C">
        <w:rPr>
          <w:rFonts w:cstheme="minorHAnsi"/>
          <w:sz w:val="16"/>
        </w:rPr>
        <w:t>* Immatricolati per la prima volta all’Ateneo</w:t>
      </w:r>
      <w:r w:rsidRPr="0028725C">
        <w:rPr>
          <w:rFonts w:cstheme="minorHAnsi"/>
          <w:sz w:val="16"/>
        </w:rPr>
        <w:tab/>
        <w:t xml:space="preserve"> ** Immatricolati per la prima volta al Sistema Universitario</w:t>
      </w:r>
      <w:r w:rsidRPr="0028725C">
        <w:rPr>
          <w:rFonts w:cstheme="minorHAnsi"/>
        </w:rPr>
        <w:br w:type="page"/>
      </w:r>
    </w:p>
    <w:p w:rsidR="00195C10" w:rsidRPr="00B06F39" w:rsidRDefault="00195C10" w:rsidP="00195C10">
      <w:pPr>
        <w:keepNext/>
        <w:keepLines/>
        <w:spacing w:before="120" w:after="240" w:line="240" w:lineRule="auto"/>
        <w:jc w:val="both"/>
        <w:outlineLvl w:val="2"/>
        <w:rPr>
          <w:rFonts w:eastAsiaTheme="majorEastAsia" w:cstheme="minorHAnsi"/>
          <w:bCs/>
          <w:smallCaps/>
          <w:color w:val="5B9BD5" w:themeColor="accent1"/>
        </w:rPr>
      </w:pPr>
      <w:r w:rsidRPr="0028725C">
        <w:rPr>
          <w:rFonts w:eastAsiaTheme="majorEastAsia" w:cstheme="minorHAnsi"/>
          <w:bCs/>
          <w:smallCaps/>
          <w:color w:val="5B9BD5" w:themeColor="accent1"/>
        </w:rPr>
        <w:lastRenderedPageBreak/>
        <w:t>Indicatori I Parte – Gruppo A e Gruppo B DM 987/2016, allegato E</w:t>
      </w:r>
    </w:p>
    <w:tbl>
      <w:tblPr>
        <w:tblStyle w:val="Grigliatabella1"/>
        <w:tblW w:w="5205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"/>
        <w:gridCol w:w="3287"/>
        <w:gridCol w:w="567"/>
        <w:gridCol w:w="529"/>
        <w:gridCol w:w="531"/>
        <w:gridCol w:w="539"/>
        <w:gridCol w:w="529"/>
        <w:gridCol w:w="569"/>
        <w:gridCol w:w="535"/>
        <w:gridCol w:w="579"/>
        <w:gridCol w:w="529"/>
        <w:gridCol w:w="533"/>
        <w:gridCol w:w="531"/>
        <w:gridCol w:w="533"/>
      </w:tblGrid>
      <w:tr w:rsidR="00195C10" w:rsidRPr="0028725C" w:rsidTr="001C5758">
        <w:tc>
          <w:tcPr>
            <w:tcW w:w="115" w:type="pct"/>
            <w:vMerge w:val="restar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cstheme="minorHAnsi"/>
                <w:b/>
                <w:sz w:val="18"/>
              </w:rPr>
            </w:pPr>
            <w:r w:rsidRPr="00D33C68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1639" w:type="pct"/>
            <w:vMerge w:val="restar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1080" w:type="pct"/>
            <w:gridSpan w:val="4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2015/16</w:t>
            </w:r>
          </w:p>
        </w:tc>
        <w:tc>
          <w:tcPr>
            <w:tcW w:w="1104" w:type="pct"/>
            <w:gridSpan w:val="4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838"/>
                <w:tab w:val="left" w:pos="1279"/>
                <w:tab w:val="center" w:pos="1672"/>
                <w:tab w:val="center" w:pos="3019"/>
              </w:tabs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28725C">
              <w:rPr>
                <w:rFonts w:asciiTheme="minorHAnsi" w:hAnsiTheme="minorHAnsi" w:cstheme="minorHAnsi"/>
                <w:b/>
                <w:sz w:val="18"/>
              </w:rPr>
              <w:t>2014/15</w:t>
            </w:r>
          </w:p>
        </w:tc>
        <w:tc>
          <w:tcPr>
            <w:tcW w:w="1062" w:type="pct"/>
            <w:gridSpan w:val="4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2013/14</w:t>
            </w:r>
          </w:p>
        </w:tc>
      </w:tr>
      <w:tr w:rsidR="00195C10" w:rsidRPr="0028725C" w:rsidTr="001C5758">
        <w:trPr>
          <w:trHeight w:val="167"/>
        </w:trPr>
        <w:tc>
          <w:tcPr>
            <w:tcW w:w="115" w:type="pct"/>
            <w:vMerge/>
            <w:shd w:val="clear" w:color="auto" w:fill="DEEAF6" w:themeFill="accent1" w:themeFillTint="33"/>
          </w:tcPr>
          <w:p w:rsidR="00195C10" w:rsidRPr="0028725C" w:rsidRDefault="00195C10" w:rsidP="001C5758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 w:val="restar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7" w:type="pct"/>
            <w:gridSpan w:val="3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840" w:type="pct"/>
            <w:gridSpan w:val="3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7" w:type="pct"/>
            <w:gridSpan w:val="3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</w:tr>
      <w:tr w:rsidR="00195C10" w:rsidRPr="0028725C" w:rsidTr="001C5758">
        <w:tc>
          <w:tcPr>
            <w:tcW w:w="115" w:type="pct"/>
            <w:vMerge/>
            <w:shd w:val="clear" w:color="auto" w:fill="FFFFCC"/>
          </w:tcPr>
          <w:p w:rsidR="00195C10" w:rsidRPr="0028725C" w:rsidRDefault="00195C10" w:rsidP="001C5758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FFFFCC"/>
          </w:tcPr>
          <w:p w:rsidR="00195C10" w:rsidRPr="0028725C" w:rsidRDefault="00195C10" w:rsidP="001C5758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/>
            <w:shd w:val="clear" w:color="auto" w:fill="FFFFCC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69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4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7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88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5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66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</w:tr>
      <w:tr w:rsidR="00195C10" w:rsidRPr="0028725C" w:rsidTr="001C5758">
        <w:tc>
          <w:tcPr>
            <w:tcW w:w="5000" w:type="pct"/>
            <w:gridSpan w:val="14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28725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Gruppo A – Indicatori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relativi alla d</w:t>
            </w:r>
            <w:r w:rsidRPr="0028725C">
              <w:rPr>
                <w:rFonts w:asciiTheme="minorHAnsi" w:hAnsiTheme="minorHAnsi" w:cstheme="minorHAnsi"/>
                <w:b/>
                <w:sz w:val="16"/>
                <w:szCs w:val="16"/>
              </w:rPr>
              <w:t>idattica (DM 987/2016, allegato E)</w:t>
            </w: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Proporzione di studenti iscritti entro la durata normale del CdS che abbiano acquisito almeno 40 CFU nell’a.s.*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910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" w:tooltip="Proporzione di laureati (L; LM; LMCU) entro la durata normale dei corsi" w:history="1">
              <w:r w:rsidRPr="0028725C">
                <w:rPr>
                  <w:rFonts w:asciiTheme="minorHAnsi" w:hAnsiTheme="minorHAnsi" w:cstheme="minorHAnsi"/>
                  <w:sz w:val="16"/>
                  <w:szCs w:val="16"/>
                </w:rPr>
                <w:t>Proporzione di laureati (L; LM; LMCU) entro la durata normale del</w:t>
              </w:r>
            </w:hyperlink>
            <w:r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corso*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3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iC3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Proporzione di iscritti al primo anno (L, LMCU) provenienti da altre Regioni*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3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iC4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Proporzione iscritti al primo anno (LM) laureati in altro Ateneo*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iC5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Rapporto studenti regolari/docenti (professori a tempo indeterminato, ricercatori a tempo indeterminato, ricercatori di tipo a e tipo b)*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iC6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" w:tooltip="Proporzione di Laureati occupati a un anno dal Titolo (L)" w:history="1">
              <w:r>
                <w:rPr>
                  <w:rFonts w:asciiTheme="minorHAnsi" w:hAnsiTheme="minorHAnsi" w:cstheme="minorHAnsi"/>
                  <w:sz w:val="16"/>
                  <w:szCs w:val="16"/>
                </w:rPr>
                <w:t>Proporzione di l</w:t>
              </w:r>
              <w:r w:rsidRPr="0028725C">
                <w:rPr>
                  <w:rFonts w:asciiTheme="minorHAnsi" w:hAnsiTheme="minorHAnsi" w:cstheme="minorHAnsi"/>
                  <w:sz w:val="16"/>
                  <w:szCs w:val="16"/>
                </w:rPr>
                <w:t>aureati occupati a un anno dal Titolo (L)</w:t>
              </w:r>
            </w:hyperlink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iC7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tooltip="Proporzione di Laureati occupati a tre anni dal Titolo (LM, LMCU)" w:history="1">
              <w:r>
                <w:rPr>
                  <w:rFonts w:asciiTheme="minorHAnsi" w:hAnsiTheme="minorHAnsi" w:cstheme="minorHAnsi"/>
                  <w:sz w:val="16"/>
                  <w:szCs w:val="16"/>
                </w:rPr>
                <w:t>Proporzione di l</w:t>
              </w:r>
              <w:r w:rsidRPr="0028725C">
                <w:rPr>
                  <w:rFonts w:asciiTheme="minorHAnsi" w:hAnsiTheme="minorHAnsi" w:cstheme="minorHAnsi"/>
                  <w:sz w:val="16"/>
                  <w:szCs w:val="16"/>
                </w:rPr>
                <w:t>aureati occupati a tre anni dal Titolo (LM; LMCU)</w:t>
              </w:r>
            </w:hyperlink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3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iC8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dei docenti di ruolo che appartengono a settori scientifico-disciplinari (SSD) di base e caratterizzanti per corso di studio (L; LMCU; LM), di cui sono docenti di riferimento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iC9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Valori dell’indicatore di Qualità della ricerca dei docenti per le lauree magistrali (QRDLM) (valore di riferimento: 0,8)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5000" w:type="pct"/>
            <w:gridSpan w:val="14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28725C">
              <w:rPr>
                <w:rFonts w:asciiTheme="minorHAnsi" w:hAnsiTheme="minorHAnsi" w:cstheme="minorHAnsi"/>
                <w:b/>
                <w:sz w:val="16"/>
                <w:szCs w:val="16"/>
              </w:rPr>
              <w:t>Gruppo B – Indicatori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i</w:t>
            </w:r>
            <w:r w:rsidRPr="0028725C">
              <w:rPr>
                <w:rFonts w:asciiTheme="minorHAnsi" w:hAnsiTheme="minorHAnsi" w:cstheme="minorHAnsi"/>
                <w:b/>
                <w:sz w:val="16"/>
                <w:szCs w:val="16"/>
              </w:rPr>
              <w:t>nternazionalizzazione (DM 987/2016, allegato E)</w:t>
            </w: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iC10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" w:tooltip="Proporzione di CFU conseguiti all'estero dagli studenti regolari sul totale&#10; dei CFU conseguiti dagli studenti entro la durata normale del corso" w:history="1">
              <w:r w:rsidRPr="0028725C">
                <w:rPr>
                  <w:rFonts w:asciiTheme="minorHAnsi" w:hAnsiTheme="minorHAnsi" w:cstheme="minorHAnsi"/>
                  <w:sz w:val="16"/>
                  <w:szCs w:val="16"/>
                </w:rPr>
                <w:t>Proporzione di CFU conseguiti all'estero dagli studenti regolari sul totale dei CFU conseguiti dagli studenti entro la durata normale del corso</w:t>
              </w:r>
            </w:hyperlink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iC11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Proporzione di laureati (L; LM; LMCU) entro la durata normale del corso che hanno acquisito almeno 12 CFU all’estero*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iC12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tooltip="Proporzione di studenti iscritti al primo anno dei corsi di laurea (L) e laurea magistrale (LM; LMCU) che hanno conseguito il titolo di studio all’estero" w:history="1">
              <w:r w:rsidRPr="0028725C">
                <w:rPr>
                  <w:rFonts w:asciiTheme="minorHAnsi" w:hAnsiTheme="minorHAnsi" w:cstheme="minorHAnsi"/>
                  <w:sz w:val="16"/>
                  <w:szCs w:val="16"/>
                </w:rPr>
                <w:t>Proporzione di studenti iscritti al primo anno del corso di laurea (L) e laurea magistrale (LM; LMCU) che hanno conseguito il precedente titolo di studio all’estero</w:t>
              </w:r>
            </w:hyperlink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:rsidR="00195C10" w:rsidRPr="0028725C" w:rsidRDefault="00195C10" w:rsidP="00195C10">
      <w:pPr>
        <w:pStyle w:val="Nessunaspaziatura"/>
        <w:rPr>
          <w:rFonts w:cstheme="minorHAnsi"/>
        </w:rPr>
      </w:pPr>
      <w:r w:rsidRPr="0028725C">
        <w:rPr>
          <w:rFonts w:cstheme="minorHAnsi"/>
          <w:sz w:val="16"/>
        </w:rPr>
        <w:t>* Calcolo basato sugli Immatricolati per la prima volta all’Ateneo</w:t>
      </w:r>
    </w:p>
    <w:p w:rsidR="00195C10" w:rsidRDefault="00195C10" w:rsidP="00195C10">
      <w:pPr>
        <w:pStyle w:val="Nessunaspaziatura"/>
        <w:rPr>
          <w:rFonts w:cstheme="minorHAnsi"/>
        </w:rPr>
      </w:pPr>
    </w:p>
    <w:p w:rsidR="00195C10" w:rsidRDefault="00195C10" w:rsidP="00195C10">
      <w:pPr>
        <w:keepNext/>
        <w:keepLines/>
        <w:spacing w:before="120" w:after="240" w:line="240" w:lineRule="auto"/>
        <w:jc w:val="both"/>
        <w:outlineLvl w:val="2"/>
        <w:rPr>
          <w:rFonts w:eastAsiaTheme="majorEastAsia" w:cstheme="minorHAnsi"/>
          <w:bCs/>
          <w:smallCaps/>
          <w:color w:val="5B9BD5" w:themeColor="accent1"/>
        </w:rPr>
      </w:pPr>
      <w:r w:rsidRPr="0028725C">
        <w:rPr>
          <w:rFonts w:eastAsiaTheme="majorEastAsia" w:cstheme="minorHAnsi"/>
          <w:bCs/>
          <w:smallCaps/>
          <w:color w:val="5B9BD5" w:themeColor="accent1"/>
        </w:rPr>
        <w:t xml:space="preserve">Indicatori II Parte – Gruppo E DM 987/2016, </w:t>
      </w:r>
      <w:r>
        <w:rPr>
          <w:rFonts w:eastAsiaTheme="majorEastAsia" w:cstheme="minorHAnsi"/>
          <w:bCs/>
          <w:smallCaps/>
          <w:color w:val="5B9BD5" w:themeColor="accent1"/>
        </w:rPr>
        <w:t xml:space="preserve">allegato E </w:t>
      </w:r>
      <w:proofErr w:type="spellStart"/>
      <w:r>
        <w:rPr>
          <w:rFonts w:eastAsiaTheme="majorEastAsia" w:cstheme="minorHAnsi"/>
          <w:bCs/>
          <w:smallCaps/>
          <w:color w:val="5B9BD5" w:themeColor="accent1"/>
        </w:rPr>
        <w:t>e</w:t>
      </w:r>
      <w:proofErr w:type="spellEnd"/>
      <w:r>
        <w:rPr>
          <w:rFonts w:eastAsiaTheme="majorEastAsia" w:cstheme="minorHAnsi"/>
          <w:bCs/>
          <w:smallCaps/>
          <w:color w:val="5B9BD5" w:themeColor="accent1"/>
        </w:rPr>
        <w:t xml:space="preserve"> di Approfondimento</w:t>
      </w:r>
    </w:p>
    <w:tbl>
      <w:tblPr>
        <w:tblStyle w:val="Grigliatabella1"/>
        <w:tblW w:w="5205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"/>
        <w:gridCol w:w="3287"/>
        <w:gridCol w:w="567"/>
        <w:gridCol w:w="529"/>
        <w:gridCol w:w="531"/>
        <w:gridCol w:w="541"/>
        <w:gridCol w:w="529"/>
        <w:gridCol w:w="569"/>
        <w:gridCol w:w="535"/>
        <w:gridCol w:w="579"/>
        <w:gridCol w:w="529"/>
        <w:gridCol w:w="533"/>
        <w:gridCol w:w="531"/>
        <w:gridCol w:w="531"/>
      </w:tblGrid>
      <w:tr w:rsidR="00195C10" w:rsidRPr="0028725C" w:rsidTr="001C5758">
        <w:tc>
          <w:tcPr>
            <w:tcW w:w="115" w:type="pct"/>
            <w:vMerge w:val="restar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cstheme="minorHAnsi"/>
                <w:b/>
                <w:sz w:val="18"/>
              </w:rPr>
            </w:pPr>
            <w:r w:rsidRPr="00D33C68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1639" w:type="pct"/>
            <w:vMerge w:val="restar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1080" w:type="pct"/>
            <w:gridSpan w:val="4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2015/16</w:t>
            </w:r>
          </w:p>
        </w:tc>
        <w:tc>
          <w:tcPr>
            <w:tcW w:w="1104" w:type="pct"/>
            <w:gridSpan w:val="4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838"/>
                <w:tab w:val="left" w:pos="1279"/>
                <w:tab w:val="center" w:pos="1672"/>
                <w:tab w:val="center" w:pos="3019"/>
              </w:tabs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28725C">
              <w:rPr>
                <w:rFonts w:asciiTheme="minorHAnsi" w:hAnsiTheme="minorHAnsi" w:cstheme="minorHAnsi"/>
                <w:b/>
                <w:sz w:val="18"/>
              </w:rPr>
              <w:t>2014/15</w:t>
            </w:r>
          </w:p>
        </w:tc>
        <w:tc>
          <w:tcPr>
            <w:tcW w:w="1062" w:type="pct"/>
            <w:gridSpan w:val="4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2013/14</w:t>
            </w:r>
          </w:p>
        </w:tc>
      </w:tr>
      <w:tr w:rsidR="00195C10" w:rsidRPr="0028725C" w:rsidTr="001C5758">
        <w:trPr>
          <w:trHeight w:val="167"/>
        </w:trPr>
        <w:tc>
          <w:tcPr>
            <w:tcW w:w="115" w:type="pct"/>
            <w:vMerge/>
            <w:shd w:val="clear" w:color="auto" w:fill="DEEAF6" w:themeFill="accent1" w:themeFillTint="33"/>
          </w:tcPr>
          <w:p w:rsidR="00195C10" w:rsidRPr="0028725C" w:rsidRDefault="00195C10" w:rsidP="001C5758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 w:val="restar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7" w:type="pct"/>
            <w:gridSpan w:val="3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840" w:type="pct"/>
            <w:gridSpan w:val="3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8" w:type="pct"/>
            <w:gridSpan w:val="3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</w:tr>
      <w:tr w:rsidR="00195C10" w:rsidRPr="0028725C" w:rsidTr="001C5758">
        <w:tc>
          <w:tcPr>
            <w:tcW w:w="115" w:type="pct"/>
            <w:vMerge/>
            <w:shd w:val="clear" w:color="auto" w:fill="FFFFCC"/>
          </w:tcPr>
          <w:p w:rsidR="00195C10" w:rsidRPr="0028725C" w:rsidRDefault="00195C10" w:rsidP="001C5758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FFFFCC"/>
          </w:tcPr>
          <w:p w:rsidR="00195C10" w:rsidRPr="0028725C" w:rsidRDefault="00195C10" w:rsidP="001C5758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/>
            <w:shd w:val="clear" w:color="auto" w:fill="FFFFCC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70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4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7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89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  <w:tc>
          <w:tcPr>
            <w:tcW w:w="264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5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 geo</w:t>
            </w:r>
          </w:p>
        </w:tc>
        <w:tc>
          <w:tcPr>
            <w:tcW w:w="267" w:type="pct"/>
            <w:shd w:val="clear" w:color="auto" w:fill="DEEAF6" w:themeFill="accent1" w:themeFillTint="33"/>
            <w:vAlign w:val="center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 Italia</w:t>
            </w:r>
          </w:p>
        </w:tc>
      </w:tr>
      <w:tr w:rsidR="00195C10" w:rsidRPr="0028725C" w:rsidTr="001C5758">
        <w:tc>
          <w:tcPr>
            <w:tcW w:w="5000" w:type="pct"/>
            <w:gridSpan w:val="14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  <w:r w:rsidRPr="0028725C">
              <w:rPr>
                <w:rFonts w:asciiTheme="minorHAnsi" w:hAnsiTheme="minorHAnsi" w:cstheme="minorHAnsi"/>
                <w:b/>
                <w:sz w:val="16"/>
                <w:szCs w:val="16"/>
              </w:rPr>
              <w:t>Gruppo E – Ulteriori Indicatori per la valutazione della didattica (DM 987/2016, allegato E)</w:t>
            </w: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iC13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di CFU conseguiti al I anno su CFU da conseguire**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910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iC14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di studenti che proseguono nel II anno nello stesso corso di studio**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3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iC15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tooltip="Proporzione di studenti che si iscrivono al II anno della stessa classe di laurea o laurea magistrale a ciclo unico (L, LMCU) avendo acquisito almeno 40 CFU in rapporto alla coorte di immatricolati nell'a.a. precedente" w:history="1">
              <w:r w:rsidRPr="0028725C">
                <w:rPr>
                  <w:rFonts w:asciiTheme="minorHAnsi" w:hAnsiTheme="minorHAnsi" w:cstheme="minorHAnsi"/>
                  <w:sz w:val="16"/>
                  <w:szCs w:val="16"/>
                </w:rPr>
                <w:t>Percentuale di studenti che proseguono al II anno nello stesso corso di studio avendo acquisito almeno 20 CFU al</w:t>
              </w:r>
            </w:hyperlink>
            <w:r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I anno**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3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70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iC16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tooltip="Proporzione di studenti che si iscrivono al II anno della stessa classe di laurea o laurea magistrale a ciclo unico (L, LMCU) avendo acquisito almeno 40 CFU in rapporto alla coorte di immatricolati nell'a.a. precedente" w:history="1">
              <w:r w:rsidRPr="0028725C">
                <w:rPr>
                  <w:rFonts w:asciiTheme="minorHAnsi" w:hAnsiTheme="minorHAnsi" w:cstheme="minorHAnsi"/>
                  <w:sz w:val="16"/>
                  <w:szCs w:val="16"/>
                </w:rPr>
                <w:t>Percentuale di studenti che proseguono al II anno nello stesso corso di studio avendo acquisito almeno 40 CFU al</w:t>
              </w:r>
            </w:hyperlink>
            <w:r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I anno**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iC17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tooltip="Proporzione di laureati (L; LM; LMCU) entro la durata normale dei corsi" w:history="1">
              <w:r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Percentuale di immatricolati (L; LM; LMCU) </w:t>
              </w:r>
            </w:hyperlink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che si laureano entro un anno oltre la durata normale del corso nello stesso corso di studio**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iC18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di laureati che si iscriverebbero di nuovo allo stesso corso di studio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0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iC19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Ore di docenza erogata da docenti assunti a tempo indeterminato sul totale delle ore di docenza erogata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3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0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iC20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Rapporto tutor/studenti iscritti (per i corsi di studio prevalentemente o integralmente a distanza)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5000" w:type="pct"/>
            <w:gridSpan w:val="14"/>
          </w:tcPr>
          <w:p w:rsidR="00195C10" w:rsidRPr="00B06F39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Indicatori di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28725C">
              <w:rPr>
                <w:rFonts w:asciiTheme="minorHAnsi" w:hAnsiTheme="minorHAnsi" w:cstheme="minorHAnsi"/>
                <w:b/>
                <w:sz w:val="16"/>
                <w:szCs w:val="16"/>
              </w:rPr>
              <w:t>pprofondimento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8725C">
              <w:rPr>
                <w:rFonts w:asciiTheme="minorHAnsi" w:hAnsiTheme="minorHAnsi" w:cstheme="minorHAnsi"/>
                <w:b/>
                <w:sz w:val="16"/>
                <w:szCs w:val="16"/>
              </w:rPr>
              <w:t>– Percorso di studio e regolarità delle carriere</w:t>
            </w: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iC21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8F041F">
              <w:rPr>
                <w:rFonts w:asciiTheme="minorHAnsi" w:hAnsiTheme="minorHAnsi" w:cstheme="minorHAnsi"/>
                <w:sz w:val="16"/>
                <w:szCs w:val="16"/>
              </w:rPr>
              <w:t>Percentuale di studenti che proseguono la carriera nel sistema universitario al II anno**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iC22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Percentuale di immatricolati (L; LM; LMCU) che si laureano, nel CdS, entro la durata normale del corso** 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D33C68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iC23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di abbandoni del CdS tra il I e il II anno**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B06F39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iC24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di abbandoni del CdS dopo N+1 anni**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5000" w:type="pct"/>
            <w:gridSpan w:val="14"/>
            <w:vAlign w:val="center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  <w:r w:rsidRPr="0028725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Indicatori di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28725C">
              <w:rPr>
                <w:rFonts w:asciiTheme="minorHAnsi" w:hAnsiTheme="minorHAnsi" w:cstheme="minorHAnsi"/>
                <w:b/>
                <w:sz w:val="16"/>
                <w:szCs w:val="16"/>
              </w:rPr>
              <w:t>pprofondimento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8725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Soddisfazione e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occupabilità</w:t>
            </w:r>
            <w:proofErr w:type="spellEnd"/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B06F39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iC25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Proporzione di laureanti</w:t>
            </w: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complessivamente soddisfatti del CdS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B06F39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iC26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hyperlink r:id="rId13" w:tooltip="Proporzione di Laureati occupati a tre anni dal Titolo (LM, LMCU)" w:history="1">
              <w:r>
                <w:rPr>
                  <w:rFonts w:asciiTheme="minorHAnsi" w:hAnsiTheme="minorHAnsi" w:cstheme="minorHAnsi"/>
                  <w:sz w:val="16"/>
                  <w:szCs w:val="16"/>
                </w:rPr>
                <w:t>Proporzione di l</w:t>
              </w:r>
              <w:r w:rsidRPr="0028725C">
                <w:rPr>
                  <w:rFonts w:asciiTheme="minorHAnsi" w:hAnsiTheme="minorHAnsi" w:cstheme="minorHAnsi"/>
                  <w:sz w:val="16"/>
                  <w:szCs w:val="16"/>
                </w:rPr>
                <w:t>aureati occupati a un anno dal Titolo (LM; LMCU)</w:t>
              </w:r>
            </w:hyperlink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5000" w:type="pct"/>
            <w:gridSpan w:val="14"/>
            <w:vAlign w:val="center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  <w:r w:rsidRPr="0028725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Indicatori di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28725C">
              <w:rPr>
                <w:rFonts w:asciiTheme="minorHAnsi" w:hAnsiTheme="minorHAnsi" w:cstheme="minorHAnsi"/>
                <w:b/>
                <w:sz w:val="16"/>
                <w:szCs w:val="16"/>
              </w:rPr>
              <w:t>pprofondimento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8725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Consistenza 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q</w:t>
            </w:r>
            <w:r w:rsidRPr="0028725C">
              <w:rPr>
                <w:rFonts w:asciiTheme="minorHAnsi" w:hAnsiTheme="minorHAnsi" w:cstheme="minorHAnsi"/>
                <w:b/>
                <w:sz w:val="16"/>
                <w:szCs w:val="16"/>
              </w:rPr>
              <w:t>ualificazione del corpo docente</w:t>
            </w: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B06F39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iC27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Rapporto studenti iscritti/docenti complessivo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B06F39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iC28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Rapporto studenti iscritti al primo anno/docenti</w:t>
            </w:r>
            <w:r w:rsidRPr="0028725C">
              <w:rPr>
                <w:rFonts w:asciiTheme="minorHAnsi" w:hAnsiTheme="minorHAnsi" w:cstheme="minorHAnsi"/>
                <w:sz w:val="16"/>
                <w:szCs w:val="18"/>
              </w:rPr>
              <w:t xml:space="preserve"> degli insegnamenti del primo anno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195C10" w:rsidRPr="0028725C" w:rsidTr="001C5758">
        <w:tc>
          <w:tcPr>
            <w:tcW w:w="115" w:type="pct"/>
            <w:vAlign w:val="center"/>
          </w:tcPr>
          <w:p w:rsidR="00195C10" w:rsidRPr="00B06F39" w:rsidRDefault="00195C10" w:rsidP="001C575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iC29</w:t>
            </w:r>
          </w:p>
        </w:tc>
        <w:tc>
          <w:tcPr>
            <w:tcW w:w="1639" w:type="pct"/>
          </w:tcPr>
          <w:p w:rsidR="00195C10" w:rsidRPr="0028725C" w:rsidRDefault="00195C10" w:rsidP="001C5758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 xml:space="preserve">Rapporto tutor in possesso di Dottorato di Ricerca / Iscritti (per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gli Atenei </w:t>
            </w:r>
            <w:r w:rsidRPr="00745295">
              <w:rPr>
                <w:rFonts w:asciiTheme="minorHAnsi" w:hAnsiTheme="minorHAnsi" w:cstheme="minorHAnsi"/>
                <w:sz w:val="16"/>
                <w:szCs w:val="16"/>
              </w:rPr>
              <w:t>Telematic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745295">
              <w:rPr>
                <w:rFonts w:asciiTheme="minorHAnsi" w:hAnsiTheme="minorHAnsi" w:cstheme="minorHAnsi"/>
                <w:sz w:val="16"/>
                <w:szCs w:val="16"/>
              </w:rPr>
              <w:t xml:space="preserve"> o con più del 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0% dei corsi a distanza, </w:t>
            </w:r>
            <w:r w:rsidRPr="00745295">
              <w:rPr>
                <w:rFonts w:asciiTheme="minorHAnsi" w:hAnsiTheme="minorHAnsi" w:cstheme="minorHAnsi"/>
                <w:sz w:val="16"/>
                <w:szCs w:val="16"/>
              </w:rPr>
              <w:t>DM 987/2016</w:t>
            </w:r>
            <w:r w:rsidRPr="008F041F">
              <w:rPr>
                <w:rFonts w:asciiTheme="minorHAnsi" w:hAnsiTheme="minorHAnsi" w:cstheme="minorHAnsi"/>
                <w:sz w:val="16"/>
                <w:szCs w:val="16"/>
              </w:rPr>
              <w:t>)***</w:t>
            </w:r>
          </w:p>
        </w:tc>
        <w:tc>
          <w:tcPr>
            <w:tcW w:w="283" w:type="pct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EEAF6" w:themeFill="accent1" w:themeFillTint="33"/>
          </w:tcPr>
          <w:p w:rsidR="00195C10" w:rsidRPr="0028725C" w:rsidRDefault="00195C10" w:rsidP="001C5758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</w:tbl>
    <w:p w:rsidR="00195C10" w:rsidRDefault="00195C10" w:rsidP="00195C10">
      <w:pPr>
        <w:pStyle w:val="Nessunaspaziatura"/>
        <w:rPr>
          <w:sz w:val="16"/>
          <w:szCs w:val="16"/>
        </w:rPr>
      </w:pPr>
      <w:r w:rsidRPr="00B06F39">
        <w:rPr>
          <w:sz w:val="16"/>
        </w:rPr>
        <w:t>** Immatricolati per la prima volta al Sistema Universitario</w:t>
      </w:r>
      <w:r>
        <w:rPr>
          <w:sz w:val="16"/>
        </w:rPr>
        <w:t xml:space="preserve"> o iscritti per la prima volta a una LM</w:t>
      </w:r>
      <w:r w:rsidRPr="00B06F39">
        <w:rPr>
          <w:sz w:val="16"/>
        </w:rPr>
        <w:tab/>
        <w:t>***</w:t>
      </w:r>
      <w:r w:rsidRPr="00B06F39">
        <w:rPr>
          <w:sz w:val="16"/>
          <w:szCs w:val="16"/>
        </w:rPr>
        <w:t xml:space="preserve"> Dato disponibile dall’</w:t>
      </w:r>
      <w:proofErr w:type="spellStart"/>
      <w:r w:rsidRPr="00B06F39">
        <w:rPr>
          <w:sz w:val="16"/>
          <w:szCs w:val="16"/>
        </w:rPr>
        <w:t>a.a</w:t>
      </w:r>
      <w:proofErr w:type="spellEnd"/>
      <w:r w:rsidRPr="00B06F39">
        <w:rPr>
          <w:sz w:val="16"/>
          <w:szCs w:val="16"/>
        </w:rPr>
        <w:t>. 2016/2017</w:t>
      </w:r>
    </w:p>
    <w:p w:rsidR="00195C10" w:rsidRDefault="00195C10" w:rsidP="00195C10">
      <w:pPr>
        <w:pStyle w:val="Nessunaspaziatura"/>
        <w:rPr>
          <w:sz w:val="16"/>
          <w:szCs w:val="16"/>
        </w:rPr>
      </w:pPr>
    </w:p>
    <w:p w:rsidR="00195C10" w:rsidRDefault="00195C10" w:rsidP="00195C10">
      <w:pPr>
        <w:pStyle w:val="Nessunaspaziatura"/>
        <w:rPr>
          <w:sz w:val="16"/>
          <w:szCs w:val="16"/>
        </w:rPr>
      </w:pPr>
    </w:p>
    <w:p w:rsidR="00195C10" w:rsidRDefault="00195C10" w:rsidP="00195C10">
      <w:pPr>
        <w:pStyle w:val="Nessunaspaziatura"/>
        <w:rPr>
          <w:sz w:val="16"/>
          <w:szCs w:val="16"/>
        </w:rPr>
      </w:pPr>
      <w:r w:rsidRPr="00B91341">
        <w:rPr>
          <w:sz w:val="16"/>
          <w:szCs w:val="16"/>
        </w:rPr>
        <w:t>COMMENTO SINTETICO AGLI INDICATORI</w:t>
      </w:r>
      <w:r>
        <w:rPr>
          <w:sz w:val="16"/>
          <w:szCs w:val="16"/>
        </w:rPr>
        <w:t>,</w:t>
      </w:r>
      <w:r w:rsidRPr="00B91341">
        <w:rPr>
          <w:sz w:val="16"/>
          <w:szCs w:val="16"/>
        </w:rPr>
        <w:t xml:space="preserve"> ANALISI DELLE EVENTUALI CRITICITÀ RISCONTRATE</w:t>
      </w:r>
      <w:r>
        <w:rPr>
          <w:sz w:val="16"/>
          <w:szCs w:val="16"/>
        </w:rPr>
        <w:t>, AZIONI DI MIGLIORAMENTO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5C10" w:rsidTr="001C5758">
        <w:tc>
          <w:tcPr>
            <w:tcW w:w="15538" w:type="dxa"/>
          </w:tcPr>
          <w:p w:rsidR="00195C10" w:rsidRDefault="00195C10" w:rsidP="001C5758">
            <w:pPr>
              <w:pStyle w:val="Nessunaspaziatura"/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Commento generale:</w:t>
            </w:r>
          </w:p>
          <w:p w:rsidR="00195C10" w:rsidRDefault="00195C10" w:rsidP="001C5758">
            <w:pPr>
              <w:pStyle w:val="Nessunaspaziatura"/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</w:p>
          <w:p w:rsidR="00195C10" w:rsidRDefault="00195C10" w:rsidP="001C5758">
            <w:pPr>
              <w:pStyle w:val="Nessunaspaziatura"/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commento Indicatori per la didattica:</w:t>
            </w:r>
          </w:p>
          <w:p w:rsidR="00195C10" w:rsidRDefault="00195C10" w:rsidP="001C5758">
            <w:pPr>
              <w:pStyle w:val="Nessunaspaziatura"/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</w:p>
          <w:p w:rsidR="00195C10" w:rsidRDefault="00195C10" w:rsidP="001C5758">
            <w:pPr>
              <w:pStyle w:val="Nessunaspaziatura"/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commento indicatori per l’internazionalizzazione:</w:t>
            </w:r>
          </w:p>
          <w:p w:rsidR="00195C10" w:rsidRDefault="00195C10" w:rsidP="001C5758">
            <w:pPr>
              <w:pStyle w:val="Nessunaspaziatura"/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</w:p>
          <w:p w:rsidR="00195C10" w:rsidRDefault="00195C10" w:rsidP="001C5758">
            <w:pPr>
              <w:pStyle w:val="Nessunaspaziatura"/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commento ulteriori indicatori per la valutazione della didattica</w:t>
            </w:r>
          </w:p>
          <w:p w:rsidR="00195C10" w:rsidRDefault="00195C10" w:rsidP="001C5758">
            <w:pPr>
              <w:pStyle w:val="Nessunaspaziatura"/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</w:p>
          <w:p w:rsidR="00195C10" w:rsidRDefault="00195C10" w:rsidP="001C5758">
            <w:pPr>
              <w:pStyle w:val="Nessunaspaziatura"/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commento percorso di studio e regolarità delle carriere</w:t>
            </w:r>
          </w:p>
          <w:p w:rsidR="00195C10" w:rsidRDefault="00195C10" w:rsidP="001C5758">
            <w:pPr>
              <w:pStyle w:val="Nessunaspaziatura"/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</w:p>
          <w:p w:rsidR="00195C10" w:rsidRDefault="00195C10" w:rsidP="001C5758">
            <w:pPr>
              <w:pStyle w:val="Nessunaspaziatura"/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 xml:space="preserve">commento soddisfazione e </w:t>
            </w:r>
            <w:proofErr w:type="spellStart"/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occupabilità</w:t>
            </w:r>
            <w:proofErr w:type="spellEnd"/>
          </w:p>
          <w:p w:rsidR="00195C10" w:rsidRDefault="00195C10" w:rsidP="001C5758">
            <w:pPr>
              <w:pStyle w:val="Nessunaspaziatura"/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</w:p>
          <w:p w:rsidR="00195C10" w:rsidRDefault="00195C10" w:rsidP="001C5758">
            <w:pPr>
              <w:pStyle w:val="Nessunaspaziatura"/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commento consistenza e qualificazione del corpo docente</w:t>
            </w:r>
          </w:p>
          <w:p w:rsidR="00195C10" w:rsidRDefault="00195C10" w:rsidP="001C5758">
            <w:pPr>
              <w:pStyle w:val="Nessunaspaziatura"/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</w:p>
          <w:p w:rsidR="00195C10" w:rsidRDefault="00195C10" w:rsidP="001C5758">
            <w:pPr>
              <w:pStyle w:val="Nessunaspaziatura"/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 xml:space="preserve">Azione di miglioramento n° 1: </w:t>
            </w:r>
          </w:p>
          <w:p w:rsidR="00195C10" w:rsidRDefault="00195C10" w:rsidP="00195C10">
            <w:pPr>
              <w:pStyle w:val="Nessunaspaziatura"/>
              <w:numPr>
                <w:ilvl w:val="0"/>
                <w:numId w:val="2"/>
              </w:numPr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breve descrizione</w:t>
            </w:r>
          </w:p>
          <w:p w:rsidR="00195C10" w:rsidRDefault="00195C10" w:rsidP="00195C10">
            <w:pPr>
              <w:pStyle w:val="Nessunaspaziatura"/>
              <w:numPr>
                <w:ilvl w:val="0"/>
                <w:numId w:val="2"/>
              </w:numPr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responsabile dell’azione</w:t>
            </w:r>
          </w:p>
          <w:p w:rsidR="00195C10" w:rsidRDefault="00195C10" w:rsidP="00195C10">
            <w:pPr>
              <w:pStyle w:val="Nessunaspaziatura"/>
              <w:numPr>
                <w:ilvl w:val="0"/>
                <w:numId w:val="2"/>
              </w:numPr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risorse</w:t>
            </w:r>
          </w:p>
          <w:p w:rsidR="00195C10" w:rsidRDefault="00195C10" w:rsidP="00195C10">
            <w:pPr>
              <w:pStyle w:val="Nessunaspaziatura"/>
              <w:numPr>
                <w:ilvl w:val="0"/>
                <w:numId w:val="2"/>
              </w:numPr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miglioramento atteso rispetto all’indicatore</w:t>
            </w:r>
          </w:p>
          <w:p w:rsidR="00195C10" w:rsidRDefault="00195C10" w:rsidP="00195C10">
            <w:pPr>
              <w:pStyle w:val="Nessunaspaziatura"/>
              <w:numPr>
                <w:ilvl w:val="0"/>
                <w:numId w:val="2"/>
              </w:numPr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tempi attesi di realizzazione</w:t>
            </w:r>
          </w:p>
          <w:p w:rsidR="00195C10" w:rsidRDefault="00195C10" w:rsidP="00195C10">
            <w:pPr>
              <w:pStyle w:val="Nessunaspaziatura"/>
              <w:numPr>
                <w:ilvl w:val="0"/>
                <w:numId w:val="2"/>
              </w:numPr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modalità per la verifica del miglioramento dell’indicatore</w:t>
            </w:r>
          </w:p>
          <w:p w:rsidR="00195C10" w:rsidRDefault="00195C10" w:rsidP="001C5758">
            <w:pPr>
              <w:pStyle w:val="Nessunaspaziatura"/>
              <w:ind w:left="720"/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</w:p>
          <w:p w:rsidR="00195C10" w:rsidRDefault="00195C10" w:rsidP="001C5758">
            <w:pPr>
              <w:pStyle w:val="Nessunaspaziatura"/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 xml:space="preserve">Azione di miglioramento n° 2: </w:t>
            </w:r>
          </w:p>
          <w:p w:rsidR="00195C10" w:rsidRDefault="00195C10" w:rsidP="00195C10">
            <w:pPr>
              <w:pStyle w:val="Nessunaspaziatura"/>
              <w:numPr>
                <w:ilvl w:val="0"/>
                <w:numId w:val="2"/>
              </w:numPr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breve descrizione</w:t>
            </w:r>
          </w:p>
          <w:p w:rsidR="00195C10" w:rsidRDefault="00195C10" w:rsidP="00195C10">
            <w:pPr>
              <w:pStyle w:val="Nessunaspaziatura"/>
              <w:numPr>
                <w:ilvl w:val="0"/>
                <w:numId w:val="2"/>
              </w:numPr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responsabile dell’azione</w:t>
            </w:r>
          </w:p>
          <w:p w:rsidR="00195C10" w:rsidRDefault="00195C10" w:rsidP="00195C10">
            <w:pPr>
              <w:pStyle w:val="Nessunaspaziatura"/>
              <w:numPr>
                <w:ilvl w:val="0"/>
                <w:numId w:val="2"/>
              </w:numPr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risorse</w:t>
            </w:r>
          </w:p>
          <w:p w:rsidR="00195C10" w:rsidRDefault="00195C10" w:rsidP="00195C10">
            <w:pPr>
              <w:pStyle w:val="Nessunaspaziatura"/>
              <w:numPr>
                <w:ilvl w:val="0"/>
                <w:numId w:val="2"/>
              </w:numPr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miglioramento atteso rispetto all’indicatore</w:t>
            </w:r>
          </w:p>
          <w:p w:rsidR="00195C10" w:rsidRDefault="00195C10" w:rsidP="00195C10">
            <w:pPr>
              <w:pStyle w:val="Nessunaspaziatura"/>
              <w:numPr>
                <w:ilvl w:val="0"/>
                <w:numId w:val="2"/>
              </w:numPr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tempi attesi di realizzazione</w:t>
            </w:r>
          </w:p>
          <w:p w:rsidR="00195C10" w:rsidRDefault="00195C10" w:rsidP="00195C10">
            <w:pPr>
              <w:pStyle w:val="Nessunaspaziatura"/>
              <w:numPr>
                <w:ilvl w:val="0"/>
                <w:numId w:val="2"/>
              </w:numPr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modalità per la verifica del miglioramento dell’indicatore</w:t>
            </w:r>
          </w:p>
          <w:p w:rsidR="00195C10" w:rsidRDefault="00195C10" w:rsidP="001C5758">
            <w:pPr>
              <w:pStyle w:val="Nessunaspaziatura"/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</w:p>
          <w:p w:rsidR="00195C10" w:rsidRDefault="00195C10" w:rsidP="001C5758">
            <w:pPr>
              <w:pStyle w:val="Nessunaspaziatura"/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 xml:space="preserve">Azione di miglioramento n° 3: </w:t>
            </w:r>
          </w:p>
          <w:p w:rsidR="00195C10" w:rsidRDefault="00195C10" w:rsidP="00195C10">
            <w:pPr>
              <w:pStyle w:val="Nessunaspaziatura"/>
              <w:numPr>
                <w:ilvl w:val="0"/>
                <w:numId w:val="2"/>
              </w:numPr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lastRenderedPageBreak/>
              <w:t>breve descrizione</w:t>
            </w:r>
          </w:p>
          <w:p w:rsidR="00195C10" w:rsidRDefault="00195C10" w:rsidP="00195C10">
            <w:pPr>
              <w:pStyle w:val="Nessunaspaziatura"/>
              <w:numPr>
                <w:ilvl w:val="0"/>
                <w:numId w:val="2"/>
              </w:numPr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responsabile dell’azione</w:t>
            </w:r>
          </w:p>
          <w:p w:rsidR="00195C10" w:rsidRDefault="00195C10" w:rsidP="00195C10">
            <w:pPr>
              <w:pStyle w:val="Nessunaspaziatura"/>
              <w:numPr>
                <w:ilvl w:val="0"/>
                <w:numId w:val="2"/>
              </w:numPr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risorse</w:t>
            </w:r>
          </w:p>
          <w:p w:rsidR="00195C10" w:rsidRDefault="00195C10" w:rsidP="00195C10">
            <w:pPr>
              <w:pStyle w:val="Nessunaspaziatura"/>
              <w:numPr>
                <w:ilvl w:val="0"/>
                <w:numId w:val="2"/>
              </w:numPr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miglioramento atteso rispetto all’indicatore</w:t>
            </w:r>
          </w:p>
          <w:p w:rsidR="00195C10" w:rsidRDefault="00195C10" w:rsidP="00195C10">
            <w:pPr>
              <w:pStyle w:val="Nessunaspaziatura"/>
              <w:numPr>
                <w:ilvl w:val="0"/>
                <w:numId w:val="2"/>
              </w:numPr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tempi attesi di realizzazione</w:t>
            </w:r>
          </w:p>
          <w:p w:rsidR="00195C10" w:rsidRDefault="00195C10" w:rsidP="00195C10">
            <w:pPr>
              <w:pStyle w:val="Nessunaspaziatura"/>
              <w:numPr>
                <w:ilvl w:val="0"/>
                <w:numId w:val="2"/>
              </w:numPr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  <w:r>
              <w:rPr>
                <w:rFonts w:eastAsiaTheme="majorEastAsia"/>
                <w:bCs/>
                <w:smallCaps/>
                <w:color w:val="5B9BD5" w:themeColor="accent1"/>
                <w:sz w:val="16"/>
              </w:rPr>
              <w:t>modalità per la verifica del miglioramento dell’indicatore</w:t>
            </w:r>
          </w:p>
          <w:p w:rsidR="00195C10" w:rsidRDefault="00195C10" w:rsidP="001C5758">
            <w:pPr>
              <w:pStyle w:val="Nessunaspaziatura"/>
              <w:rPr>
                <w:rFonts w:eastAsiaTheme="majorEastAsia"/>
                <w:bCs/>
                <w:smallCaps/>
                <w:color w:val="5B9BD5" w:themeColor="accent1"/>
                <w:sz w:val="16"/>
              </w:rPr>
            </w:pPr>
          </w:p>
        </w:tc>
      </w:tr>
    </w:tbl>
    <w:p w:rsidR="005C4E69" w:rsidRDefault="005C4E69"/>
    <w:sectPr w:rsidR="005C4E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B48F3"/>
    <w:multiLevelType w:val="hybridMultilevel"/>
    <w:tmpl w:val="39A271BA"/>
    <w:lvl w:ilvl="0" w:tplc="697E9A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372AC"/>
    <w:multiLevelType w:val="hybridMultilevel"/>
    <w:tmpl w:val="E0221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10"/>
    <w:rsid w:val="00195C10"/>
    <w:rsid w:val="005C4E69"/>
    <w:rsid w:val="006000C2"/>
    <w:rsid w:val="00D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0029"/>
  <w15:chartTrackingRefBased/>
  <w15:docId w15:val="{5593FA02-A418-4A28-9165-B69E4565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5C1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5C10"/>
    <w:pPr>
      <w:ind w:left="720"/>
      <w:contextualSpacing/>
    </w:pPr>
  </w:style>
  <w:style w:type="table" w:styleId="Grigliatabella">
    <w:name w:val="Table Grid"/>
    <w:basedOn w:val="Tabellanormale"/>
    <w:rsid w:val="00195C10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195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95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eneo.cineca.it/pro3/report/prt_indicatori1618.php?SESSION=xh5EKLaGwGToMjUOZONpNYwM3UiyJOeO&amp;parte=32&amp;area=D_3&amp;anno=2017&amp;indicatore=D_3_1&amp;obiettivo=D&amp;azione=D_3&amp;id_sersel=1002" TargetMode="External"/><Relationship Id="rId13" Type="http://schemas.openxmlformats.org/officeDocument/2006/relationships/hyperlink" Target="https://ateneo.cineca.it/pro3/report/prt_indicatori1618.php?SESSION=xh5EKLaGwGToMjUOZONpNYwM3UiyJOeO&amp;parte=32&amp;area=A_A&amp;anno=2017&amp;indicatore=A_A_4&amp;obiettivo=A&amp;azione=A_A&amp;id_sersel=1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eneo.cineca.it/pro3/report/prt_indicatori1618.php?SESSION=xh5EKLaGwGToMjUOZONpNYwM3UiyJOeO&amp;parte=32&amp;area=A_A&amp;anno=2017&amp;indicatore=A_A_4&amp;obiettivo=A&amp;azione=A_A&amp;id_sersel=1005" TargetMode="External"/><Relationship Id="rId12" Type="http://schemas.openxmlformats.org/officeDocument/2006/relationships/hyperlink" Target="https://ateneo.cineca.it/pro3/report/prt_indicatori1618.php?SESSION=xh5EKLaGwGToMjUOZONpNYwM3UiyJOeO&amp;parte=32&amp;area=D_2&amp;anno=2017&amp;indicatore=D_2_2&amp;obiettivo=D&amp;azione=D_2&amp;id_sersel=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eneo.cineca.it/pro3/report/prt_indicatori1618.php?SESSION=xh5EKLaGwGToMjUOZONpNYwM3UiyJOeO&amp;parte=32&amp;area=A_A&amp;anno=2017&amp;indicatore=A_A_3&amp;obiettivo=A&amp;azione=A_A&amp;id_sersel=1005" TargetMode="External"/><Relationship Id="rId11" Type="http://schemas.openxmlformats.org/officeDocument/2006/relationships/hyperlink" Target="https://ateneo.cineca.it/pro3/report/prt_indicatori1618.php?SESSION=xh5EKLaGwGToMjUOZONpNYwM3UiyJOeO&amp;parte=32&amp;area=A_A&amp;anno=2017&amp;indicatore=A_A_1&amp;obiettivo=A&amp;azione=A_A&amp;id_sersel=1005" TargetMode="External"/><Relationship Id="rId5" Type="http://schemas.openxmlformats.org/officeDocument/2006/relationships/hyperlink" Target="https://ateneo.cineca.it/pro3/report/prt_indicatori1618.php?SESSION=xh5EKLaGwGToMjUOZONpNYwM3UiyJOeO&amp;parte=32&amp;area=D_2&amp;anno=2017&amp;indicatore=D_2_2&amp;obiettivo=D&amp;azione=D_2&amp;id_sersel=100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teneo.cineca.it/pro3/report/prt_indicatori1618.php?SESSION=xh5EKLaGwGToMjUOZONpNYwM3UiyJOeO&amp;parte=32&amp;area=A_A&amp;anno=2017&amp;indicatore=A_A_1&amp;obiettivo=A&amp;azione=A_A&amp;id_sersel=1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eneo.cineca.it/pro3/report/prt_indicatori1618.php?SESSION=xh5EKLaGwGToMjUOZONpNYwM3UiyJOeO&amp;parte=32&amp;area=D_3&amp;anno=2017&amp;indicatore=D_3_3&amp;obiettivo=D&amp;azione=D_3&amp;id_sersel=10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Gentile</dc:creator>
  <cp:keywords/>
  <dc:description/>
  <cp:lastModifiedBy>Claudio Gentile</cp:lastModifiedBy>
  <cp:revision>1</cp:revision>
  <dcterms:created xsi:type="dcterms:W3CDTF">2024-06-27T11:27:00Z</dcterms:created>
  <dcterms:modified xsi:type="dcterms:W3CDTF">2024-06-27T11:28:00Z</dcterms:modified>
</cp:coreProperties>
</file>